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91" w:rsidRPr="00B50491" w:rsidRDefault="00B50491" w:rsidP="00B504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50491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en-GB"/>
        </w:rPr>
        <w:t>RE: question regarding one of your investments</w:t>
      </w:r>
      <w:r w:rsidRPr="00B50491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</w:p>
    <w:p w:rsidR="00B50491" w:rsidRPr="00B50491" w:rsidRDefault="00B50491" w:rsidP="00B5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>FROM</w:t>
      </w:r>
      <w:proofErr w:type="gramStart"/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B504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Annibale</w:t>
      </w:r>
      <w:proofErr w:type="spellEnd"/>
      <w:proofErr w:type="gramEnd"/>
      <w:r w:rsidRPr="00B504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, Robert </w:t>
      </w:r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 </w:t>
      </w:r>
    </w:p>
    <w:p w:rsidR="00B50491" w:rsidRPr="00B50491" w:rsidRDefault="00B50491" w:rsidP="00B5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>TO</w:t>
      </w:r>
      <w:proofErr w:type="gramStart"/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B504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>Hugh</w:t>
      </w:r>
      <w:proofErr w:type="spellEnd"/>
      <w:proofErr w:type="gramEnd"/>
      <w:r w:rsidRPr="00B5049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n-GB"/>
        </w:rPr>
        <w:t xml:space="preserve"> Sinclair</w:t>
      </w:r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50491" w:rsidRPr="00B50491" w:rsidRDefault="00B50491" w:rsidP="00B5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50491">
        <w:rPr>
          <w:rFonts w:ascii="Times New Roman" w:eastAsia="Times New Roman" w:hAnsi="Times New Roman" w:cs="Times New Roman"/>
          <w:sz w:val="24"/>
          <w:szCs w:val="24"/>
          <w:lang w:eastAsia="en-GB"/>
        </w:rPr>
        <w:t>Monday, August 10, 2009 10:45 AM</w:t>
      </w:r>
    </w:p>
    <w:p w:rsidR="00B50491" w:rsidRDefault="00B50491" w:rsidP="00B504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B50491" w:rsidRPr="00B50491" w:rsidRDefault="00B50491" w:rsidP="00B504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50491">
        <w:rPr>
          <w:rFonts w:ascii="Arial" w:eastAsia="Times New Roman" w:hAnsi="Arial" w:cs="Arial"/>
          <w:sz w:val="20"/>
          <w:szCs w:val="20"/>
          <w:lang w:eastAsia="en-GB"/>
        </w:rPr>
        <w:t>Dear Hugh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believe that we may have met at one of the conferences where I think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you spoke or, perhaps we both spoke, but in any case I recall your name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as being long active in the microfinance sector. Thank you for your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interest in </w:t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Citi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Microfinance and I very much appreciate the compliment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coming from someone so experienced. Please note my direct contacts for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the future and should you be in London and can stop by to meet.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too am glad that Transparency International will create the tools for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MFIs to present the APR or other indicators of all-in-costs for their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lending products. With Larry joining there will be a very experienced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senior team who know the microfinance sector and new participants very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well indeed. I have been on the board of the MIX and have wished that we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had the resources to even begin to tackle what I am sure requires a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different set of skills and focus, which I think TI will provide.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Thanks for raising some interesting points regarding LAPO. While I don't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think it would be appropriate to discuss an individual client, as such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welcome your input based on your direct experiences and associations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that have given you insights into the Nigerian market and as an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investor. As you mentioned, we have worked together with Grameen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Foundation in Nigeria and with LAPO. I have followed up on some of the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issues you raised with Grameen and others, as well as with our local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office in Lagos.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We, as with Grameen and a number of other partners and funders of LAPO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would like to see microfinance play a positive and larger role in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Nigeria. This is likely to require capacity building of some key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functions in institutions, which Grameen is also committed to supporting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and guiding. There has been a good deal of communication between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institutions that would like to see many of such issues addressed and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resources deployed to ensure accuracy and transparency. Grameen and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others have updated us on this progress and we too will follow up in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greater detail. 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Where are you currently based and, should you be in London after August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please let me know and come by and meet with us.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Best regards, Bob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Bob </w:t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Annibale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Global Director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Citi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Microfinance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5" w:tgtFrame="_blank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www.citi.com/citi/microfinance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-----Original Message-----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From: Hugh Sinclair 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Sent: 28 July 2009 22:38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To: </w:t>
      </w:r>
      <w:hyperlink r:id="rId6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microfinance@citi.com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Subject: question regarding one of your investments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lastRenderedPageBreak/>
        <w:br/>
        <w:t xml:space="preserve">Dear </w:t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Citi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noticed with interest your investment in LAPO, in Nigeria, some time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ago, and have been a keen observer of financial institutions such as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Citi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entering the microfinance sector. This demonstrates a certain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professionalization and maturity of the sector. I also noticed that such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supporting initiatives, such as Microfinance Transparency, are emerging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to provide additional re-assurance to investors about the integrity of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the sector.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wondered if I could ask you about this investment. The reason is, I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have been working in microfinance for nearly a decade now, and am an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investor in the sector myself. I recently attended the ASN Bank Annual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General Meeting as a shareholder. The guest speaker was Godwin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Ehigamusoe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>, CEO of LAPO in Nigeria. I have visited this bank on a couple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of occasions. During the questioning after LAPO's speech about poverty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reduction, a question was publicly raised. The CEO was directly asked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how he was able to lift so many people out of poverty with interest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rates in excess of 100%. No credible answer was given, and an unplanned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pause was announced.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found this claim interesting, and did some investigation, only to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discover that these rates are entirely normal at LAPO. I contacted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Microfinance Transparency, and sent them some loan repayment schedules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from LAPO, and they confirmed an interest rate of approximately 110%. I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can send these to you if you like. Upon further investigation, however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,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it appeared this institution was operating illegally. </w:t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MicroRate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>, who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provide ratings comparable to S&amp;P or Moody's, of which I am sure you are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aware, had published two ratings on LAPO, one in 2005 and one in 2007.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On both ratings, publicly available (see links below), it was clearly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stated that the bank is illegally capturing savings from clients without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 license or adequate governance in place to ensure the safety of these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deposits: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7" w:tgtFrame="_blank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http://microrate.com/home/microrate-public-ratings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(2007 summary rating)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8" w:tgtFrame="_blank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http://www.ratingfund.org/ratings_completed.aspx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(2005 full rating)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 both ratings the extraordinary profitability of LAPO was mentioned on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 number of occasions, explicitly linking this to the high operating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margins. We are all aware of the misperceptions of interest rates in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microfinance, and that these are expected to be higher than those we are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accustomed to in "developed" countries for valid reasons, but LAPO is a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highly profitable MFI and the client desertion rate is chronic, which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does suggest that clients are not content at LAPO and drop-out at an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alarming rate. To quote some examples from the 2007 report: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"the client desertion rate remains high" (page 1) "Despite LAPO's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efforts to better meet their client needs, the borrower attrition rate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has increased to a very high 51%" (page 7) "Not surprisingly, those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branches with the highest client attrition rate also show higher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portfolio at risk ratios" (page 7) "Retaining their clients remains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however a big challenge" (page 10) "However, client desertion remains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high at 27% as at end 2007" (page 11)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It is also worth pointing out that the capturing of savings is in fact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entirely illegal, as stated in the Central Bank of Nigeria legislation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relating to such institutions: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"9.3 Non-Governmental Organization - Micro Finance Institutions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(NGO-MFIs): This policy recognizes the existence of credit-only,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membership-based microfinance institutions which shall not be required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to come under the supervisory purview of the Central Bank of Nigeria.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Such institutions shall engage in the provision of micro credits to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their targeted population and not to mobilize deposits from the general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public."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9" w:tgtFrame="_blank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http://www.cenbank.org/OUT/PUBLICATIONS/GUIDELINES/DFD/2006/MICROFINANCE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%20POLICY.PDF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noticed that you did this investment alongside Grameen Foundation, who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have also invested in LAPO and guaranteed other loans to the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institution, thus presumably they are aware of this. Mohammed Yunus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seemed quite clear in his critique of extortionate interest rates in his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Bali speech, and I was wondering if you found these rates acceptable?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Finally, I was wondering if you could clarify, in light of the current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financial crisis, the precise SEC regulation relating to US institutions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investing in Nigerian financial institutions that fail to comply with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their own legal requirements when such information was clearly and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publicly available at the time of investing. You announced the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investment in May 2007 I believe.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I would be delighted to discuss this matter further with you. Regarding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supporting documentation, I have a wealth of information on the subject.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And as a final, sobering thought, you may wish to review the recent news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from </w:t>
      </w:r>
      <w:proofErr w:type="spell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Syminvest</w:t>
      </w:r>
      <w:proofErr w:type="spellEnd"/>
      <w:r w:rsidRPr="00B50491">
        <w:rPr>
          <w:rFonts w:ascii="Arial" w:eastAsia="Times New Roman" w:hAnsi="Arial" w:cs="Arial"/>
          <w:sz w:val="20"/>
          <w:szCs w:val="20"/>
          <w:lang w:eastAsia="en-GB"/>
        </w:rPr>
        <w:t xml:space="preserve"> regarding Nigeria entitled "CBN to Sanction Erring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Directors of Microfinance, Mortgage Banks" [CBN = Central Bank of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Nigeria]: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hyperlink r:id="rId10" w:tgtFrame="_blank" w:history="1">
        <w:r w:rsidRPr="00B50491">
          <w:rPr>
            <w:rFonts w:ascii="Arial" w:eastAsia="Times New Roman" w:hAnsi="Arial" w:cs="Arial"/>
            <w:color w:val="0000FF"/>
            <w:sz w:val="20"/>
            <w:u w:val="single"/>
            <w:lang w:eastAsia="en-GB"/>
          </w:rPr>
          <w:t>http://www.syminvest.com/market/news/microfinance/nigeria-cbn-to-sanctio</w:t>
        </w:r>
      </w:hyperlink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n-erring-directors-of-microfinance-mortgage-banks-/2009/7/27/1948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While I applaud the activities you are undertaking in this sector, it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does appear that the investment you made in LAPO, from an external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viewpoint, is neither ethical, legal or assisting the poor. Please could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you explain how this is compatible with your core </w:t>
      </w:r>
      <w:proofErr w:type="gramStart"/>
      <w:r w:rsidRPr="00B50491">
        <w:rPr>
          <w:rFonts w:ascii="Arial" w:eastAsia="Times New Roman" w:hAnsi="Arial" w:cs="Arial"/>
          <w:sz w:val="20"/>
          <w:szCs w:val="20"/>
          <w:lang w:eastAsia="en-GB"/>
        </w:rPr>
        <w:t>mission.</w:t>
      </w:r>
      <w:proofErr w:type="gramEnd"/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 xml:space="preserve">Thank you very much, </w:t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</w:r>
      <w:r w:rsidRPr="00B50491">
        <w:rPr>
          <w:rFonts w:ascii="Arial" w:eastAsia="Times New Roman" w:hAnsi="Arial" w:cs="Arial"/>
          <w:sz w:val="20"/>
          <w:szCs w:val="20"/>
          <w:lang w:eastAsia="en-GB"/>
        </w:rPr>
        <w:br/>
        <w:t>Hugh Sinclair</w:t>
      </w:r>
    </w:p>
    <w:p w:rsidR="00F16BFD" w:rsidRDefault="00F16BFD"/>
    <w:sectPr w:rsidR="00F16BFD" w:rsidSect="00F16B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5974"/>
    <w:multiLevelType w:val="multilevel"/>
    <w:tmpl w:val="0BE8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2864D7"/>
    <w:multiLevelType w:val="multilevel"/>
    <w:tmpl w:val="D62A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B50491"/>
    <w:rsid w:val="000A5A41"/>
    <w:rsid w:val="002115FE"/>
    <w:rsid w:val="0078191E"/>
    <w:rsid w:val="008414AF"/>
    <w:rsid w:val="008D663C"/>
    <w:rsid w:val="00B50491"/>
    <w:rsid w:val="00F16220"/>
    <w:rsid w:val="00F1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41"/>
  </w:style>
  <w:style w:type="paragraph" w:styleId="Heading3">
    <w:name w:val="heading 3"/>
    <w:basedOn w:val="Normal"/>
    <w:link w:val="Heading3Char"/>
    <w:uiPriority w:val="9"/>
    <w:qFormat/>
    <w:rsid w:val="00B50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504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0491"/>
    <w:rPr>
      <w:color w:val="0000FF"/>
      <w:u w:val="single"/>
    </w:rPr>
  </w:style>
  <w:style w:type="character" w:customStyle="1" w:styleId="btn">
    <w:name w:val="btn"/>
    <w:basedOn w:val="DefaultParagraphFont"/>
    <w:rsid w:val="00B50491"/>
  </w:style>
  <w:style w:type="character" w:customStyle="1" w:styleId="yshortcuts">
    <w:name w:val="yshortcuts"/>
    <w:basedOn w:val="DefaultParagraphFont"/>
    <w:rsid w:val="00B50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1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ingfund.org/ratings_completed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crorate.com/home/microrate-public-rating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rofinance@cit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ti.com/citi/microfinance" TargetMode="External"/><Relationship Id="rId10" Type="http://schemas.openxmlformats.org/officeDocument/2006/relationships/hyperlink" Target="http://www.syminvest.com/market/news/microfinance/nigeria-cbn-to-sanct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bank.org/OUT/PUBLICATIONS/GUIDELINES/DFD/2006/MICROFI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2012-04-05T22:31:00Z</dcterms:created>
  <dcterms:modified xsi:type="dcterms:W3CDTF">2012-04-05T22:34:00Z</dcterms:modified>
</cp:coreProperties>
</file>